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1" w:rsidRPr="006D103B" w:rsidRDefault="00932AD1" w:rsidP="00932AD1">
      <w:pPr>
        <w:keepNext/>
        <w:keepLines/>
        <w:spacing w:before="480"/>
        <w:jc w:val="center"/>
        <w:outlineLvl w:val="0"/>
        <w:rPr>
          <w:rFonts w:ascii="Georgia" w:eastAsiaTheme="majorEastAsia" w:hAnsi="Georgia" w:cs="Arial"/>
          <w:color w:val="000000" w:themeColor="text1"/>
          <w:u w:val="single"/>
        </w:rPr>
      </w:pPr>
      <w:bookmarkStart w:id="0" w:name="_Toc21941192"/>
      <w:bookmarkStart w:id="1" w:name="_GoBack"/>
      <w:bookmarkEnd w:id="1"/>
      <w:r w:rsidRPr="006D103B">
        <w:rPr>
          <w:rFonts w:ascii="Georgia" w:eastAsiaTheme="majorEastAsia" w:hAnsi="Georgia" w:cs="Arial"/>
          <w:b/>
          <w:bCs/>
          <w:color w:val="000000" w:themeColor="text1"/>
          <w:u w:val="single"/>
        </w:rPr>
        <w:t>FORM AD HOC EDR AGREEMENT</w:t>
      </w:r>
      <w:bookmarkEnd w:id="0"/>
    </w:p>
    <w:p w:rsidR="00932AD1" w:rsidRPr="006D103B" w:rsidRDefault="00932AD1" w:rsidP="00932AD1">
      <w:pPr>
        <w:suppressAutoHyphens/>
        <w:spacing w:after="200"/>
        <w:jc w:val="center"/>
        <w:rPr>
          <w:rFonts w:ascii="Georgia" w:hAnsi="Georgia" w:cs="Arial"/>
          <w:b/>
          <w:bCs/>
          <w:color w:val="000000" w:themeColor="text1"/>
          <w:u w:val="single"/>
        </w:rPr>
      </w:pPr>
    </w:p>
    <w:p w:rsidR="00932AD1" w:rsidRPr="006D103B" w:rsidRDefault="00932AD1" w:rsidP="00932AD1">
      <w:pPr>
        <w:suppressAutoHyphens/>
        <w:spacing w:after="200"/>
        <w:jc w:val="both"/>
        <w:rPr>
          <w:rFonts w:ascii="Georgia" w:hAnsi="Georgia" w:cs="Arial"/>
          <w:color w:val="000000" w:themeColor="text1"/>
        </w:rPr>
      </w:pPr>
      <w:r w:rsidRPr="006D103B">
        <w:rPr>
          <w:rFonts w:ascii="Georgia" w:hAnsi="Georgia" w:cs="Arial"/>
          <w:b/>
          <w:bCs/>
          <w:color w:val="000000" w:themeColor="text1"/>
        </w:rPr>
        <w:tab/>
      </w:r>
      <w:r w:rsidRPr="006D103B">
        <w:rPr>
          <w:rFonts w:ascii="Georgia" w:hAnsi="Georgia" w:cs="Arial"/>
          <w:color w:val="000000" w:themeColor="text1"/>
        </w:rPr>
        <w:t>(*) and (*) enter into this agreement (</w:t>
      </w:r>
      <w:r w:rsidRPr="006D103B">
        <w:rPr>
          <w:rFonts w:ascii="Georgia" w:hAnsi="Georgia" w:cs="Arial"/>
          <w:b/>
          <w:color w:val="000000" w:themeColor="text1"/>
        </w:rPr>
        <w:t xml:space="preserve">“Agreement”) </w:t>
      </w:r>
      <w:r w:rsidRPr="006D103B">
        <w:rPr>
          <w:rFonts w:ascii="Georgia" w:hAnsi="Georgia" w:cs="Arial"/>
          <w:color w:val="000000" w:themeColor="text1"/>
        </w:rPr>
        <w:t>as of (*) (the “</w:t>
      </w:r>
      <w:r w:rsidRPr="006D103B">
        <w:rPr>
          <w:rFonts w:ascii="Georgia" w:hAnsi="Georgia" w:cs="Arial"/>
          <w:b/>
          <w:color w:val="000000" w:themeColor="text1"/>
        </w:rPr>
        <w:t>Start Date</w:t>
      </w:r>
      <w:r w:rsidRPr="006D103B">
        <w:rPr>
          <w:rFonts w:ascii="Georgia" w:hAnsi="Georgia" w:cs="Arial"/>
          <w:color w:val="000000" w:themeColor="text1"/>
        </w:rPr>
        <w:t>”) to try to resolve their dispute voluntarily through early dispute resolution (“</w:t>
      </w:r>
      <w:r w:rsidRPr="006D103B">
        <w:rPr>
          <w:rFonts w:ascii="Georgia" w:hAnsi="Georgia" w:cs="Arial"/>
          <w:b/>
          <w:color w:val="000000" w:themeColor="text1"/>
        </w:rPr>
        <w:t>EDR</w:t>
      </w:r>
      <w:r w:rsidRPr="006D103B">
        <w:rPr>
          <w:rFonts w:ascii="Georgia" w:hAnsi="Georgia" w:cs="Arial"/>
          <w:color w:val="000000" w:themeColor="text1"/>
        </w:rPr>
        <w:t>”).</w:t>
      </w:r>
    </w:p>
    <w:p w:rsidR="00932AD1" w:rsidRPr="006D103B" w:rsidRDefault="00932AD1" w:rsidP="00932AD1">
      <w:pPr>
        <w:numPr>
          <w:ilvl w:val="0"/>
          <w:numId w:val="1"/>
        </w:numPr>
        <w:suppressAutoHyphens/>
        <w:spacing w:after="200"/>
        <w:ind w:left="0" w:firstLine="720"/>
        <w:contextualSpacing/>
        <w:jc w:val="both"/>
        <w:rPr>
          <w:rFonts w:ascii="Georgia" w:hAnsi="Georgia" w:cs="Arial"/>
          <w:color w:val="000000" w:themeColor="text1"/>
        </w:rPr>
      </w:pPr>
      <w:r w:rsidRPr="006D103B">
        <w:rPr>
          <w:rFonts w:ascii="Georgia" w:hAnsi="Georgia" w:cs="Arial"/>
          <w:bCs/>
          <w:color w:val="000000" w:themeColor="text1"/>
          <w:u w:val="single"/>
        </w:rPr>
        <w:t>Voluntariness</w:t>
      </w:r>
      <w:r w:rsidRPr="006D103B">
        <w:rPr>
          <w:rFonts w:ascii="Georgia" w:hAnsi="Georgia" w:cs="Arial"/>
          <w:color w:val="000000" w:themeColor="text1"/>
        </w:rPr>
        <w:t>.  This is a voluntary process.  Either party may terminate the process by giving the other party notice in writing that it is terminating the process (the “</w:t>
      </w:r>
      <w:r w:rsidRPr="006D103B">
        <w:rPr>
          <w:rFonts w:ascii="Georgia" w:hAnsi="Georgia" w:cs="Arial"/>
          <w:b/>
          <w:color w:val="000000" w:themeColor="text1"/>
        </w:rPr>
        <w:t>Termination Notice</w:t>
      </w:r>
      <w:r w:rsidRPr="006D103B">
        <w:rPr>
          <w:rFonts w:ascii="Georgia" w:hAnsi="Georgia" w:cs="Arial"/>
          <w:color w:val="000000" w:themeColor="text1"/>
        </w:rPr>
        <w:t>”).   The termination shall be effective ten days following service of the Termination Notice (the “</w:t>
      </w:r>
      <w:r w:rsidRPr="006D103B">
        <w:rPr>
          <w:rFonts w:ascii="Georgia" w:hAnsi="Georgia" w:cs="Arial"/>
          <w:b/>
          <w:color w:val="000000" w:themeColor="text1"/>
        </w:rPr>
        <w:t>Termination Date</w:t>
      </w:r>
      <w:r w:rsidRPr="006D103B">
        <w:rPr>
          <w:rFonts w:ascii="Georgia" w:hAnsi="Georgia" w:cs="Arial"/>
          <w:color w:val="000000" w:themeColor="text1"/>
        </w:rPr>
        <w:t xml:space="preserve">”).  </w:t>
      </w:r>
    </w:p>
    <w:p w:rsidR="00932AD1" w:rsidRPr="006D103B" w:rsidRDefault="00932AD1" w:rsidP="00932AD1">
      <w:pPr>
        <w:suppressAutoHyphens/>
        <w:spacing w:after="200"/>
        <w:ind w:left="720"/>
        <w:contextualSpacing/>
        <w:jc w:val="both"/>
        <w:rPr>
          <w:rFonts w:ascii="Georgia" w:hAnsi="Georgia" w:cs="Arial"/>
          <w:color w:val="000000" w:themeColor="text1"/>
        </w:rPr>
      </w:pPr>
    </w:p>
    <w:p w:rsidR="00932AD1" w:rsidRPr="006D103B" w:rsidRDefault="00932AD1" w:rsidP="00932AD1">
      <w:pPr>
        <w:numPr>
          <w:ilvl w:val="0"/>
          <w:numId w:val="1"/>
        </w:numPr>
        <w:suppressAutoHyphens/>
        <w:spacing w:after="200"/>
        <w:ind w:left="0" w:firstLine="720"/>
        <w:contextualSpacing/>
        <w:jc w:val="both"/>
        <w:rPr>
          <w:rFonts w:ascii="Georgia" w:hAnsi="Georgia" w:cs="Arial"/>
          <w:b/>
          <w:bCs/>
          <w:color w:val="000000" w:themeColor="text1"/>
          <w:u w:val="single"/>
        </w:rPr>
      </w:pPr>
      <w:r w:rsidRPr="006D103B">
        <w:rPr>
          <w:rFonts w:ascii="Georgia" w:hAnsi="Georgia" w:cs="Arial"/>
          <w:color w:val="000000" w:themeColor="text1"/>
          <w:u w:val="single"/>
        </w:rPr>
        <w:t>EDR Protocols</w:t>
      </w:r>
      <w:r w:rsidRPr="006D103B">
        <w:rPr>
          <w:rFonts w:ascii="Georgia" w:hAnsi="Georgia" w:cs="Arial"/>
          <w:color w:val="000000" w:themeColor="text1"/>
        </w:rPr>
        <w:t>.</w:t>
      </w:r>
      <w:r w:rsidRPr="006D103B">
        <w:rPr>
          <w:rFonts w:ascii="Georgia" w:hAnsi="Georgia" w:cs="Arial"/>
          <w:b/>
          <w:color w:val="000000" w:themeColor="text1"/>
        </w:rPr>
        <w:t xml:space="preserve">  </w:t>
      </w:r>
      <w:r w:rsidRPr="006D103B">
        <w:rPr>
          <w:rFonts w:ascii="Georgia" w:hAnsi="Georgia" w:cs="Arial"/>
          <w:color w:val="000000" w:themeColor="text1"/>
        </w:rPr>
        <w:t xml:space="preserve">The parties adopt the EDR Practice Protocols (EDRI), a copy of which is attached as Exhibit A.  All definitions in the Protocols apply in this Agreement.  In executing this Agreement, the parties represent that: </w:t>
      </w:r>
    </w:p>
    <w:p w:rsidR="00932AD1" w:rsidRPr="006D103B" w:rsidRDefault="00932AD1" w:rsidP="00932AD1">
      <w:pPr>
        <w:numPr>
          <w:ilvl w:val="0"/>
          <w:numId w:val="3"/>
        </w:numPr>
        <w:suppressAutoHyphens/>
        <w:spacing w:after="200"/>
        <w:contextualSpacing/>
        <w:jc w:val="both"/>
        <w:rPr>
          <w:rFonts w:ascii="Georgia" w:hAnsi="Georgia" w:cs="Arial"/>
          <w:b/>
          <w:bCs/>
          <w:color w:val="000000" w:themeColor="text1"/>
          <w:u w:val="single"/>
        </w:rPr>
      </w:pPr>
      <w:r w:rsidRPr="006D103B">
        <w:rPr>
          <w:rFonts w:ascii="Georgia" w:hAnsi="Georgia" w:cs="Arial"/>
          <w:color w:val="000000" w:themeColor="text1"/>
        </w:rPr>
        <w:t xml:space="preserve">they’ve read the Protocols; </w:t>
      </w:r>
    </w:p>
    <w:p w:rsidR="00932AD1" w:rsidRPr="006D103B" w:rsidRDefault="00932AD1" w:rsidP="00932AD1">
      <w:pPr>
        <w:numPr>
          <w:ilvl w:val="0"/>
          <w:numId w:val="3"/>
        </w:numPr>
        <w:suppressAutoHyphens/>
        <w:spacing w:after="200"/>
        <w:contextualSpacing/>
        <w:jc w:val="both"/>
        <w:rPr>
          <w:rFonts w:ascii="Georgia" w:hAnsi="Georgia" w:cs="Arial"/>
          <w:b/>
          <w:bCs/>
          <w:color w:val="000000" w:themeColor="text1"/>
          <w:u w:val="single"/>
        </w:rPr>
      </w:pPr>
      <w:r w:rsidRPr="006D103B">
        <w:rPr>
          <w:rFonts w:ascii="Georgia" w:hAnsi="Georgia" w:cs="Arial"/>
          <w:color w:val="000000" w:themeColor="text1"/>
        </w:rPr>
        <w:t xml:space="preserve">they and their counsel understand that the Protocols place duties on them that are different from the duties in litigation or arbitration; </w:t>
      </w:r>
    </w:p>
    <w:p w:rsidR="00932AD1" w:rsidRPr="006D103B" w:rsidRDefault="00932AD1" w:rsidP="00932AD1">
      <w:pPr>
        <w:numPr>
          <w:ilvl w:val="0"/>
          <w:numId w:val="3"/>
        </w:numPr>
        <w:suppressAutoHyphens/>
        <w:spacing w:after="200"/>
        <w:contextualSpacing/>
        <w:jc w:val="both"/>
        <w:rPr>
          <w:rFonts w:ascii="Georgia" w:hAnsi="Georgia" w:cs="Arial"/>
          <w:b/>
          <w:bCs/>
          <w:color w:val="000000" w:themeColor="text1"/>
          <w:u w:val="single"/>
        </w:rPr>
      </w:pPr>
      <w:r w:rsidRPr="006D103B">
        <w:rPr>
          <w:rFonts w:ascii="Georgia" w:hAnsi="Georgia" w:cs="Arial"/>
          <w:color w:val="000000" w:themeColor="text1"/>
        </w:rPr>
        <w:t xml:space="preserve">they knowingly consent to their and their attorneys’ complying with those duties; and </w:t>
      </w:r>
    </w:p>
    <w:p w:rsidR="00932AD1" w:rsidRPr="00834A31" w:rsidRDefault="00932AD1" w:rsidP="00932AD1">
      <w:pPr>
        <w:numPr>
          <w:ilvl w:val="0"/>
          <w:numId w:val="3"/>
        </w:numPr>
        <w:suppressAutoHyphens/>
        <w:spacing w:after="200"/>
        <w:contextualSpacing/>
        <w:jc w:val="both"/>
        <w:rPr>
          <w:rFonts w:ascii="Georgia" w:hAnsi="Georgia" w:cs="Arial"/>
          <w:b/>
          <w:bCs/>
          <w:color w:val="000000" w:themeColor="text1"/>
          <w:u w:val="single"/>
        </w:rPr>
      </w:pPr>
      <w:r w:rsidRPr="006D103B">
        <w:rPr>
          <w:rFonts w:ascii="Georgia" w:hAnsi="Georgia" w:cs="Arial"/>
          <w:color w:val="000000" w:themeColor="text1"/>
        </w:rPr>
        <w:t>they believe in good faith that they and their counsel meet the Necessary Conditions.</w:t>
      </w:r>
    </w:p>
    <w:p w:rsidR="00932AD1" w:rsidRPr="006D103B" w:rsidRDefault="00932AD1" w:rsidP="00932AD1">
      <w:pPr>
        <w:suppressAutoHyphens/>
        <w:spacing w:after="200"/>
        <w:ind w:left="720"/>
        <w:contextualSpacing/>
        <w:jc w:val="both"/>
        <w:rPr>
          <w:rFonts w:ascii="Georgia" w:hAnsi="Georgia" w:cs="Arial"/>
          <w:b/>
          <w:bCs/>
          <w:color w:val="000000" w:themeColor="text1"/>
          <w:u w:val="single"/>
        </w:rPr>
      </w:pPr>
    </w:p>
    <w:p w:rsidR="00932AD1" w:rsidRPr="006D103B" w:rsidRDefault="00932AD1" w:rsidP="00932AD1">
      <w:pPr>
        <w:numPr>
          <w:ilvl w:val="0"/>
          <w:numId w:val="1"/>
        </w:numPr>
        <w:suppressAutoHyphens/>
        <w:spacing w:after="200"/>
        <w:ind w:left="0" w:firstLine="720"/>
        <w:contextualSpacing/>
        <w:jc w:val="both"/>
        <w:rPr>
          <w:rFonts w:ascii="Georgia" w:hAnsi="Georgia" w:cs="Arial"/>
          <w:color w:val="000000" w:themeColor="text1"/>
        </w:rPr>
      </w:pPr>
      <w:r w:rsidRPr="006D103B">
        <w:rPr>
          <w:rFonts w:ascii="Georgia" w:hAnsi="Georgia" w:cs="Arial"/>
          <w:bCs/>
          <w:color w:val="000000" w:themeColor="text1"/>
          <w:u w:val="single"/>
        </w:rPr>
        <w:t>Tolling</w:t>
      </w:r>
      <w:r w:rsidRPr="006D103B">
        <w:rPr>
          <w:rFonts w:ascii="Georgia" w:hAnsi="Georgia" w:cs="Arial"/>
          <w:color w:val="000000" w:themeColor="text1"/>
        </w:rPr>
        <w:t>.  As of the Start Date, each party’s claims against the other are tolled until the Termination Date.  Neither party may commence litigation or arbitration until after the Termination Date.</w:t>
      </w:r>
    </w:p>
    <w:p w:rsidR="00932AD1" w:rsidRPr="006D103B" w:rsidRDefault="00932AD1" w:rsidP="00932AD1">
      <w:pPr>
        <w:suppressAutoHyphens/>
        <w:spacing w:after="200"/>
        <w:ind w:left="720"/>
        <w:contextualSpacing/>
        <w:jc w:val="both"/>
        <w:rPr>
          <w:rFonts w:ascii="Georgia" w:hAnsi="Georgia" w:cs="Arial"/>
          <w:color w:val="000000" w:themeColor="text1"/>
        </w:rPr>
      </w:pPr>
    </w:p>
    <w:p w:rsidR="00932AD1" w:rsidRPr="006D103B" w:rsidRDefault="00932AD1" w:rsidP="00932AD1">
      <w:pPr>
        <w:numPr>
          <w:ilvl w:val="0"/>
          <w:numId w:val="1"/>
        </w:numPr>
        <w:suppressAutoHyphens/>
        <w:spacing w:after="200"/>
        <w:ind w:left="0" w:firstLine="720"/>
        <w:contextualSpacing/>
        <w:jc w:val="both"/>
        <w:rPr>
          <w:rFonts w:ascii="Georgia" w:hAnsi="Georgia" w:cs="Arial"/>
          <w:color w:val="000000" w:themeColor="text1"/>
        </w:rPr>
      </w:pPr>
      <w:r w:rsidRPr="006D103B">
        <w:rPr>
          <w:rFonts w:ascii="Georgia" w:hAnsi="Georgia" w:cs="Arial"/>
          <w:bCs/>
          <w:color w:val="000000" w:themeColor="text1"/>
          <w:u w:val="single"/>
        </w:rPr>
        <w:t>EDR Neutral</w:t>
      </w:r>
      <w:r w:rsidRPr="006D103B">
        <w:rPr>
          <w:rFonts w:ascii="Georgia" w:hAnsi="Georgia" w:cs="Arial"/>
          <w:color w:val="000000" w:themeColor="text1"/>
        </w:rPr>
        <w:t>.  (*) shall serve as the EDR Neutral</w:t>
      </w:r>
      <w:r w:rsidRPr="006D103B">
        <w:rPr>
          <w:rFonts w:ascii="Georgia" w:hAnsi="Georgia" w:cs="Arial"/>
          <w:b/>
          <w:color w:val="000000" w:themeColor="text1"/>
        </w:rPr>
        <w:t xml:space="preserve">. </w:t>
      </w:r>
      <w:r>
        <w:rPr>
          <w:rFonts w:ascii="Georgia" w:hAnsi="Georgia" w:cs="Arial"/>
          <w:color w:val="000000" w:themeColor="text1"/>
        </w:rPr>
        <w:t>[</w:t>
      </w:r>
      <w:r w:rsidRPr="006D103B">
        <w:rPr>
          <w:rFonts w:ascii="Georgia" w:hAnsi="Georgia" w:cs="Arial"/>
          <w:color w:val="000000" w:themeColor="text1"/>
        </w:rPr>
        <w:t xml:space="preserve">Or:  Within (*) days of the Start Date, the parties shall select an EDR Neutral.]  </w:t>
      </w:r>
    </w:p>
    <w:p w:rsidR="00932AD1" w:rsidRPr="006D103B" w:rsidRDefault="00932AD1" w:rsidP="00932AD1">
      <w:pPr>
        <w:suppressAutoHyphens/>
        <w:spacing w:after="200"/>
        <w:ind w:left="720"/>
        <w:contextualSpacing/>
        <w:jc w:val="both"/>
        <w:rPr>
          <w:rFonts w:ascii="Georgia" w:hAnsi="Georgia" w:cs="Arial"/>
          <w:color w:val="000000" w:themeColor="text1"/>
        </w:rPr>
      </w:pPr>
    </w:p>
    <w:p w:rsidR="00932AD1" w:rsidRPr="006D103B" w:rsidRDefault="00932AD1" w:rsidP="00932AD1">
      <w:pPr>
        <w:numPr>
          <w:ilvl w:val="0"/>
          <w:numId w:val="1"/>
        </w:numPr>
        <w:suppressAutoHyphens/>
        <w:spacing w:after="200"/>
        <w:ind w:left="0" w:firstLine="720"/>
        <w:contextualSpacing/>
        <w:jc w:val="both"/>
        <w:rPr>
          <w:rFonts w:ascii="Georgia" w:hAnsi="Georgia" w:cs="Arial"/>
          <w:color w:val="000000" w:themeColor="text1"/>
        </w:rPr>
      </w:pPr>
      <w:r w:rsidRPr="006D103B">
        <w:rPr>
          <w:rFonts w:ascii="Georgia" w:hAnsi="Georgia" w:cs="Arial"/>
          <w:bCs/>
          <w:color w:val="000000" w:themeColor="text1"/>
          <w:u w:val="single"/>
        </w:rPr>
        <w:t>Schedule</w:t>
      </w:r>
      <w:r w:rsidRPr="006D103B">
        <w:rPr>
          <w:rFonts w:ascii="Georgia" w:hAnsi="Georgia" w:cs="Arial"/>
          <w:color w:val="000000" w:themeColor="text1"/>
        </w:rPr>
        <w:t>.  Within [  ] days following selection of the EDR Neutral, the parties shall begin the EDR process, and shall in good faith seek to comply with the following schedule (all days are business days):</w:t>
      </w:r>
    </w:p>
    <w:p w:rsidR="00932AD1" w:rsidRPr="006D103B" w:rsidRDefault="00932AD1" w:rsidP="00932AD1">
      <w:pPr>
        <w:ind w:left="720"/>
        <w:contextualSpacing/>
        <w:rPr>
          <w:rFonts w:ascii="Georgia" w:hAnsi="Georgia" w:cs="Arial"/>
          <w:color w:val="000000" w:themeColor="text1"/>
        </w:rPr>
      </w:pPr>
    </w:p>
    <w:p w:rsidR="00932AD1" w:rsidRPr="006D103B" w:rsidRDefault="00932AD1" w:rsidP="00932AD1">
      <w:pPr>
        <w:numPr>
          <w:ilvl w:val="0"/>
          <w:numId w:val="2"/>
        </w:numPr>
        <w:ind w:left="1800"/>
        <w:contextualSpacing/>
        <w:rPr>
          <w:rFonts w:ascii="Georgia" w:hAnsi="Georgia" w:cs="Arial"/>
          <w:color w:val="000000" w:themeColor="text1"/>
        </w:rPr>
      </w:pPr>
      <w:r>
        <w:rPr>
          <w:rFonts w:ascii="Georgia" w:hAnsi="Georgia" w:cs="Arial"/>
          <w:color w:val="000000" w:themeColor="text1"/>
        </w:rPr>
        <w:t>Initial Dispute</w:t>
      </w:r>
      <w:r w:rsidRPr="006D103B">
        <w:rPr>
          <w:rFonts w:ascii="Georgia" w:hAnsi="Georgia" w:cs="Arial"/>
          <w:color w:val="000000" w:themeColor="text1"/>
        </w:rPr>
        <w:t xml:space="preserve"> Assessment –(*) days</w:t>
      </w:r>
    </w:p>
    <w:p w:rsidR="00932AD1" w:rsidRPr="006D103B" w:rsidRDefault="00932AD1" w:rsidP="00932AD1">
      <w:pPr>
        <w:numPr>
          <w:ilvl w:val="0"/>
          <w:numId w:val="2"/>
        </w:numPr>
        <w:ind w:left="1800"/>
        <w:contextualSpacing/>
        <w:rPr>
          <w:rFonts w:ascii="Georgia" w:hAnsi="Georgia" w:cs="Arial"/>
          <w:color w:val="000000" w:themeColor="text1"/>
        </w:rPr>
      </w:pPr>
      <w:r w:rsidRPr="006D103B">
        <w:rPr>
          <w:rFonts w:ascii="Georgia" w:hAnsi="Georgia" w:cs="Arial"/>
          <w:color w:val="000000" w:themeColor="text1"/>
        </w:rPr>
        <w:t>Information Exchange – (*) days</w:t>
      </w:r>
    </w:p>
    <w:p w:rsidR="00932AD1" w:rsidRPr="006D103B" w:rsidRDefault="00932AD1" w:rsidP="00932AD1">
      <w:pPr>
        <w:numPr>
          <w:ilvl w:val="0"/>
          <w:numId w:val="2"/>
        </w:numPr>
        <w:ind w:left="1800"/>
        <w:contextualSpacing/>
        <w:rPr>
          <w:rFonts w:ascii="Georgia" w:hAnsi="Georgia" w:cs="Arial"/>
          <w:color w:val="000000" w:themeColor="text1"/>
        </w:rPr>
      </w:pPr>
      <w:r w:rsidRPr="006D103B">
        <w:rPr>
          <w:rFonts w:ascii="Georgia" w:hAnsi="Georgia" w:cs="Arial"/>
          <w:color w:val="000000" w:themeColor="text1"/>
        </w:rPr>
        <w:t>Objective  Valuation – (*) days</w:t>
      </w:r>
    </w:p>
    <w:p w:rsidR="00932AD1" w:rsidRPr="006D103B" w:rsidRDefault="00932AD1" w:rsidP="00932AD1">
      <w:pPr>
        <w:numPr>
          <w:ilvl w:val="0"/>
          <w:numId w:val="2"/>
        </w:numPr>
        <w:ind w:left="1800"/>
        <w:contextualSpacing/>
        <w:rPr>
          <w:rFonts w:ascii="Georgia" w:hAnsi="Georgia" w:cs="Arial"/>
          <w:color w:val="000000" w:themeColor="text1"/>
        </w:rPr>
      </w:pPr>
      <w:r w:rsidRPr="006D103B">
        <w:rPr>
          <w:rFonts w:ascii="Georgia" w:hAnsi="Georgia" w:cs="Arial"/>
          <w:color w:val="000000" w:themeColor="text1"/>
        </w:rPr>
        <w:t>Final Resolution – (*) days</w:t>
      </w:r>
    </w:p>
    <w:p w:rsidR="00932AD1" w:rsidRPr="006D103B" w:rsidRDefault="00932AD1" w:rsidP="00932AD1">
      <w:pPr>
        <w:numPr>
          <w:ilvl w:val="0"/>
          <w:numId w:val="2"/>
        </w:numPr>
        <w:ind w:left="1800"/>
        <w:contextualSpacing/>
        <w:rPr>
          <w:rFonts w:ascii="Georgia" w:hAnsi="Georgia" w:cs="Arial"/>
          <w:color w:val="000000" w:themeColor="text1"/>
        </w:rPr>
      </w:pPr>
      <w:r w:rsidRPr="006D103B">
        <w:rPr>
          <w:rFonts w:ascii="Georgia" w:hAnsi="Georgia" w:cs="Arial"/>
          <w:color w:val="000000" w:themeColor="text1"/>
        </w:rPr>
        <w:t>Mediation date in Final Resolution stage (if parties can’t resolve dispute completely by negotiation)</w:t>
      </w:r>
    </w:p>
    <w:p w:rsidR="00932AD1" w:rsidRPr="006D103B" w:rsidRDefault="00932AD1" w:rsidP="00932AD1">
      <w:pPr>
        <w:contextualSpacing/>
        <w:rPr>
          <w:rFonts w:ascii="Georgia" w:hAnsi="Georgia" w:cs="Arial"/>
          <w:color w:val="000000" w:themeColor="text1"/>
        </w:rPr>
      </w:pPr>
    </w:p>
    <w:p w:rsidR="00932AD1" w:rsidRPr="006D103B" w:rsidRDefault="00932AD1" w:rsidP="00932AD1">
      <w:pPr>
        <w:numPr>
          <w:ilvl w:val="0"/>
          <w:numId w:val="1"/>
        </w:numPr>
        <w:suppressAutoHyphens/>
        <w:spacing w:after="200"/>
        <w:ind w:left="0" w:firstLine="720"/>
        <w:contextualSpacing/>
        <w:jc w:val="both"/>
        <w:rPr>
          <w:rFonts w:ascii="Georgia" w:hAnsi="Georgia" w:cs="Arial"/>
          <w:i/>
          <w:color w:val="000000" w:themeColor="text1"/>
        </w:rPr>
      </w:pPr>
      <w:r w:rsidRPr="00834A31">
        <w:rPr>
          <w:rFonts w:ascii="Georgia" w:hAnsi="Georgia" w:cs="Arial"/>
          <w:color w:val="000000" w:themeColor="text1"/>
        </w:rPr>
        <w:t>[</w:t>
      </w:r>
      <w:r w:rsidRPr="006D103B">
        <w:rPr>
          <w:rFonts w:ascii="Georgia" w:hAnsi="Georgia" w:cs="Arial"/>
          <w:i/>
          <w:color w:val="000000" w:themeColor="text1"/>
        </w:rPr>
        <w:t>Optional:</w:t>
      </w:r>
      <w:r w:rsidRPr="006D103B">
        <w:rPr>
          <w:rFonts w:ascii="Georgia" w:hAnsi="Georgia" w:cs="Arial"/>
          <w:color w:val="000000" w:themeColor="text1"/>
        </w:rPr>
        <w:t xml:space="preserve"> </w:t>
      </w:r>
      <w:r w:rsidRPr="006D103B">
        <w:rPr>
          <w:rFonts w:ascii="Georgia" w:hAnsi="Georgia" w:cs="Arial"/>
          <w:color w:val="000000" w:themeColor="text1"/>
          <w:u w:val="single"/>
        </w:rPr>
        <w:t>Binding procedure</w:t>
      </w:r>
      <w:r w:rsidRPr="006D103B">
        <w:rPr>
          <w:rFonts w:ascii="Georgia" w:hAnsi="Georgia" w:cs="Arial"/>
          <w:color w:val="000000" w:themeColor="text1"/>
        </w:rPr>
        <w:t>.  If the parties</w:t>
      </w:r>
      <w:r>
        <w:rPr>
          <w:rFonts w:ascii="Georgia" w:hAnsi="Georgia" w:cs="Arial"/>
          <w:color w:val="000000" w:themeColor="text1"/>
        </w:rPr>
        <w:t xml:space="preserve"> do not completely resolve their d</w:t>
      </w:r>
      <w:r w:rsidRPr="006D103B">
        <w:rPr>
          <w:rFonts w:ascii="Georgia" w:hAnsi="Georgia" w:cs="Arial"/>
          <w:color w:val="000000" w:themeColor="text1"/>
        </w:rPr>
        <w:t>ispute in Final Resolution, they shall submit to [binding process] to resolve the dispute, which process can be changed by mutual consent as part of the Final Resolution process.]</w:t>
      </w:r>
    </w:p>
    <w:p w:rsidR="00932AD1" w:rsidRPr="006D103B" w:rsidRDefault="00932AD1" w:rsidP="00932AD1">
      <w:pPr>
        <w:ind w:left="720"/>
        <w:contextualSpacing/>
        <w:rPr>
          <w:rFonts w:ascii="Georgia" w:hAnsi="Georgia" w:cs="Arial"/>
          <w:color w:val="000000" w:themeColor="text1"/>
        </w:rPr>
      </w:pPr>
    </w:p>
    <w:p w:rsidR="00932AD1" w:rsidRPr="006D103B" w:rsidRDefault="00932AD1" w:rsidP="00932AD1">
      <w:pPr>
        <w:suppressAutoHyphens/>
        <w:spacing w:after="200"/>
        <w:contextualSpacing/>
        <w:jc w:val="both"/>
        <w:rPr>
          <w:rFonts w:ascii="Georgia" w:hAnsi="Georgia" w:cs="Arial"/>
          <w:color w:val="000000" w:themeColor="text1"/>
        </w:rPr>
      </w:pPr>
    </w:p>
    <w:p w:rsidR="00932AD1" w:rsidRPr="006D103B" w:rsidRDefault="00932AD1" w:rsidP="00932AD1">
      <w:pPr>
        <w:suppressAutoHyphens/>
        <w:spacing w:after="200"/>
        <w:jc w:val="both"/>
        <w:rPr>
          <w:rFonts w:ascii="Georgia" w:hAnsi="Georgia" w:cs="Arial"/>
          <w:i/>
          <w:iCs/>
          <w:color w:val="000000" w:themeColor="text1"/>
        </w:rPr>
      </w:pPr>
      <w:r w:rsidRPr="006D103B">
        <w:rPr>
          <w:rFonts w:ascii="Georgia" w:hAnsi="Georgia" w:cs="Arial"/>
          <w:i/>
          <w:iCs/>
          <w:color w:val="000000" w:themeColor="text1"/>
        </w:rPr>
        <w:t>[Signatures of each party and each party’s counsel]</w:t>
      </w:r>
    </w:p>
    <w:p w:rsidR="005C50CD" w:rsidRPr="00852DD1" w:rsidRDefault="00C02618"/>
    <w:sectPr w:rsidR="005C50CD" w:rsidRPr="00852D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18" w:rsidRDefault="00C02618" w:rsidP="00C02618">
      <w:r>
        <w:separator/>
      </w:r>
    </w:p>
  </w:endnote>
  <w:endnote w:type="continuationSeparator" w:id="0">
    <w:p w:rsidR="00C02618" w:rsidRDefault="00C02618" w:rsidP="00C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8" w:rsidRDefault="00C02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8" w:rsidRDefault="00C02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8" w:rsidRDefault="00C0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18" w:rsidRDefault="00C02618" w:rsidP="00C02618">
      <w:r>
        <w:separator/>
      </w:r>
    </w:p>
  </w:footnote>
  <w:footnote w:type="continuationSeparator" w:id="0">
    <w:p w:rsidR="00C02618" w:rsidRDefault="00C02618" w:rsidP="00C0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8" w:rsidRDefault="00C0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8" w:rsidRDefault="00C02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8" w:rsidRDefault="00C0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8A2"/>
    <w:multiLevelType w:val="hybridMultilevel"/>
    <w:tmpl w:val="ED7C30EA"/>
    <w:lvl w:ilvl="0" w:tplc="D756BB3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D54768"/>
    <w:multiLevelType w:val="hybridMultilevel"/>
    <w:tmpl w:val="52C8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3A40EF"/>
    <w:multiLevelType w:val="hybridMultilevel"/>
    <w:tmpl w:val="9FE0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1"/>
    <w:rsid w:val="001D0E29"/>
    <w:rsid w:val="00525F40"/>
    <w:rsid w:val="00536A29"/>
    <w:rsid w:val="00615D5D"/>
    <w:rsid w:val="00617AF2"/>
    <w:rsid w:val="006261E0"/>
    <w:rsid w:val="006437E1"/>
    <w:rsid w:val="00782643"/>
    <w:rsid w:val="007E0600"/>
    <w:rsid w:val="008362F7"/>
    <w:rsid w:val="00852DD1"/>
    <w:rsid w:val="008B02AA"/>
    <w:rsid w:val="008E2A29"/>
    <w:rsid w:val="00913895"/>
    <w:rsid w:val="00932AD1"/>
    <w:rsid w:val="009E245D"/>
    <w:rsid w:val="00A44C46"/>
    <w:rsid w:val="00AE3C37"/>
    <w:rsid w:val="00B67E63"/>
    <w:rsid w:val="00B9165F"/>
    <w:rsid w:val="00C02618"/>
    <w:rsid w:val="00C20CB5"/>
    <w:rsid w:val="00CC0EB6"/>
    <w:rsid w:val="00E9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AD1"/>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618"/>
    <w:pPr>
      <w:tabs>
        <w:tab w:val="center" w:pos="4680"/>
        <w:tab w:val="right" w:pos="9360"/>
      </w:tabs>
    </w:pPr>
  </w:style>
  <w:style w:type="character" w:customStyle="1" w:styleId="HeaderChar">
    <w:name w:val="Header Char"/>
    <w:basedOn w:val="DefaultParagraphFont"/>
    <w:link w:val="Header"/>
    <w:uiPriority w:val="99"/>
    <w:rsid w:val="00C02618"/>
    <w:rPr>
      <w:rFonts w:ascii="Times New Roman" w:eastAsia="PMingLiU" w:hAnsi="Times New Roman"/>
      <w:sz w:val="22"/>
      <w:szCs w:val="22"/>
    </w:rPr>
  </w:style>
  <w:style w:type="paragraph" w:styleId="Footer">
    <w:name w:val="footer"/>
    <w:basedOn w:val="Normal"/>
    <w:link w:val="FooterChar"/>
    <w:uiPriority w:val="99"/>
    <w:unhideWhenUsed/>
    <w:rsid w:val="00C02618"/>
    <w:pPr>
      <w:tabs>
        <w:tab w:val="center" w:pos="4680"/>
        <w:tab w:val="right" w:pos="9360"/>
      </w:tabs>
    </w:pPr>
  </w:style>
  <w:style w:type="character" w:customStyle="1" w:styleId="FooterChar">
    <w:name w:val="Footer Char"/>
    <w:basedOn w:val="DefaultParagraphFont"/>
    <w:link w:val="Footer"/>
    <w:uiPriority w:val="99"/>
    <w:rsid w:val="00C02618"/>
    <w:rPr>
      <w:rFonts w:ascii="Times New Roman" w:eastAsia="PMingLiU"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AD1"/>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618"/>
    <w:pPr>
      <w:tabs>
        <w:tab w:val="center" w:pos="4680"/>
        <w:tab w:val="right" w:pos="9360"/>
      </w:tabs>
    </w:pPr>
  </w:style>
  <w:style w:type="character" w:customStyle="1" w:styleId="HeaderChar">
    <w:name w:val="Header Char"/>
    <w:basedOn w:val="DefaultParagraphFont"/>
    <w:link w:val="Header"/>
    <w:uiPriority w:val="99"/>
    <w:rsid w:val="00C02618"/>
    <w:rPr>
      <w:rFonts w:ascii="Times New Roman" w:eastAsia="PMingLiU" w:hAnsi="Times New Roman"/>
      <w:sz w:val="22"/>
      <w:szCs w:val="22"/>
    </w:rPr>
  </w:style>
  <w:style w:type="paragraph" w:styleId="Footer">
    <w:name w:val="footer"/>
    <w:basedOn w:val="Normal"/>
    <w:link w:val="FooterChar"/>
    <w:uiPriority w:val="99"/>
    <w:unhideWhenUsed/>
    <w:rsid w:val="00C02618"/>
    <w:pPr>
      <w:tabs>
        <w:tab w:val="center" w:pos="4680"/>
        <w:tab w:val="right" w:pos="9360"/>
      </w:tabs>
    </w:pPr>
  </w:style>
  <w:style w:type="character" w:customStyle="1" w:styleId="FooterChar">
    <w:name w:val="Footer Char"/>
    <w:basedOn w:val="DefaultParagraphFont"/>
    <w:link w:val="Footer"/>
    <w:uiPriority w:val="99"/>
    <w:rsid w:val="00C02618"/>
    <w:rPr>
      <w:rFonts w:ascii="Times New Roman" w:eastAsia="PMingLiU"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339</Words>
  <Characters>1816</Characters>
  <Application>Microsoft Office Word</Application>
  <DocSecurity>0</DocSecurity>
  <Lines>42</Lines>
  <Paragraphs>18</Paragraphs>
  <ScaleCrop>false</ScaleCrop>
  <Company/>
  <LinksUpToDate>false</LinksUpToDate>
  <CharactersWithSpaces>2173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